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5B5D39" w14:textId="77777777" w:rsidR="00B46899" w:rsidRPr="00F10D3D" w:rsidRDefault="00B46899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Supplementary information for </w:t>
      </w:r>
    </w:p>
    <w:p w14:paraId="289B11C3" w14:textId="5EC067CF" w:rsidR="00066FEB" w:rsidRPr="00F10D3D" w:rsidRDefault="00066FEB" w:rsidP="00F10D3D">
      <w:pPr>
        <w:snapToGrid w:val="0"/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F10D3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High-Purity Production of Endothelial Cells from Human Pluripotent Stem Cells</w:t>
      </w:r>
    </w:p>
    <w:p w14:paraId="3065D440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</w:rPr>
        <w:t>Koki Yoshimoto</w:t>
      </w: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1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>, Ririka Okaichi</w:t>
      </w: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2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>, Kei Iida</w:t>
      </w: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2,3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>, Shiho Terada</w:t>
      </w: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1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, Ken-ichiro Kamei </w:t>
      </w: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1,4,5,6,7,8,9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>*</w:t>
      </w:r>
    </w:p>
    <w:p w14:paraId="4D8C6009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1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Institute for Integrated Cell-Material Sciences, Kyoto University Institute for Advanced Study, Kyoto, 606-8501, Japan</w:t>
      </w:r>
    </w:p>
    <w:p w14:paraId="1D4D095F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2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Department of Life Science Faculty of Science and Engineering, </w:t>
      </w:r>
      <w:proofErr w:type="spellStart"/>
      <w:r w:rsidRPr="00F10D3D">
        <w:rPr>
          <w:rFonts w:ascii="Times New Roman" w:hAnsi="Times New Roman" w:cs="Times New Roman"/>
          <w:color w:val="000000" w:themeColor="text1"/>
          <w:sz w:val="24"/>
        </w:rPr>
        <w:t>Kindai</w:t>
      </w:r>
      <w:proofErr w:type="spellEnd"/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University, 577-8502, Japan</w:t>
      </w:r>
    </w:p>
    <w:p w14:paraId="2F6D3BA8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3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Center for Cancer Immunotherapy and Immunobiology, Kyoto University Graduate School of Medicine, Kyoto 606-8501, Japan.</w:t>
      </w:r>
    </w:p>
    <w:p w14:paraId="0C967413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4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Program of Biology, Division of Science, New York University Abu Dhabi, Abu Dhabi, P.O. Box 129188, United Arab Emirates</w:t>
      </w:r>
    </w:p>
    <w:p w14:paraId="02EFC0CB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5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Program of Bioengineering, Division of Engineering, New York University Abu Dhabi, Abu Dhabi, P.O. Box 129188, United Arab Emirates</w:t>
      </w:r>
    </w:p>
    <w:p w14:paraId="42C3CE97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6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Department of Biomedical Engineering, Tandon School of Engineering, New York University, Brooklyn, NY 11201, USA</w:t>
      </w:r>
    </w:p>
    <w:p w14:paraId="6CD93C17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7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Department of Biology, Faculty of Arts &amp; Science, New York University, New York, NY 10003, USA</w:t>
      </w:r>
    </w:p>
    <w:p w14:paraId="64E328E7" w14:textId="77777777" w:rsidR="00F35185" w:rsidRPr="00F10D3D" w:rsidRDefault="00F35185" w:rsidP="00F10D3D">
      <w:pPr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8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Department of Pharmaceutics, </w:t>
      </w:r>
      <w:proofErr w:type="spellStart"/>
      <w:r w:rsidRPr="00F10D3D">
        <w:rPr>
          <w:rFonts w:ascii="Times New Roman" w:hAnsi="Times New Roman" w:cs="Times New Roman"/>
          <w:color w:val="000000" w:themeColor="text1"/>
          <w:sz w:val="24"/>
        </w:rPr>
        <w:t>Wuya</w:t>
      </w:r>
      <w:proofErr w:type="spellEnd"/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College of Innovation, Shenyang Pharmaceutical University, Shenyang, 110016, China</w:t>
      </w:r>
    </w:p>
    <w:p w14:paraId="64BCA874" w14:textId="714BE19E" w:rsidR="00F35185" w:rsidRPr="00F10D3D" w:rsidRDefault="00F35185" w:rsidP="00F10D3D">
      <w:pPr>
        <w:pStyle w:val="BodyText"/>
        <w:snapToGrid w:val="0"/>
        <w:spacing w:line="360" w:lineRule="auto"/>
        <w:ind w:right="-2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  <w:vertAlign w:val="superscript"/>
        </w:rPr>
        <w:t>9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Joint International Research Laboratory of Intelligent Drug Delivery Systems, Ministry of Education, Shenyang, 110016, China</w:t>
      </w:r>
    </w:p>
    <w:p w14:paraId="2F739F9F" w14:textId="77777777" w:rsidR="00066FEB" w:rsidRPr="00F10D3D" w:rsidRDefault="00066FEB" w:rsidP="00F10D3D">
      <w:pPr>
        <w:adjustRightInd w:val="0"/>
        <w:snapToGrid w:val="0"/>
        <w:spacing w:line="360" w:lineRule="auto"/>
        <w:ind w:right="200"/>
        <w:rPr>
          <w:rFonts w:ascii="Times New Roman" w:hAnsi="Times New Roman" w:cs="Times New Roman"/>
          <w:color w:val="000000" w:themeColor="text1"/>
          <w:sz w:val="24"/>
        </w:rPr>
      </w:pPr>
    </w:p>
    <w:p w14:paraId="01BF5328" w14:textId="77777777" w:rsidR="00066FEB" w:rsidRPr="00F10D3D" w:rsidRDefault="00066FEB" w:rsidP="00F10D3D">
      <w:pPr>
        <w:adjustRightInd w:val="0"/>
        <w:snapToGrid w:val="0"/>
        <w:spacing w:line="360" w:lineRule="auto"/>
        <w:ind w:right="200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color w:val="000000" w:themeColor="text1"/>
          <w:sz w:val="24"/>
        </w:rPr>
        <w:t>Address correspondence to: Ken-ichiro Kamei, PhD</w:t>
      </w:r>
    </w:p>
    <w:p w14:paraId="23E5E872" w14:textId="77777777" w:rsidR="00066FEB" w:rsidRPr="00F10D3D" w:rsidRDefault="00066FEB" w:rsidP="00F10D3D">
      <w:pPr>
        <w:adjustRightInd w:val="0"/>
        <w:snapToGrid w:val="0"/>
        <w:spacing w:line="360" w:lineRule="auto"/>
        <w:ind w:right="200"/>
        <w:rPr>
          <w:rFonts w:ascii="Times New Roman" w:hAnsi="Times New Roman" w:cs="Times New Roman"/>
          <w:iCs/>
          <w:color w:val="000000" w:themeColor="text1"/>
          <w:sz w:val="24"/>
          <w:lang w:val="en-GB"/>
        </w:rPr>
      </w:pPr>
      <w:r w:rsidRPr="00F10D3D">
        <w:rPr>
          <w:rFonts w:ascii="Times New Roman" w:hAnsi="Times New Roman" w:cs="Times New Roman"/>
          <w:iCs/>
          <w:color w:val="000000" w:themeColor="text1"/>
          <w:sz w:val="24"/>
          <w:lang w:val="en-GB"/>
        </w:rPr>
        <w:t>E-mail: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 xml:space="preserve"> kk4801@nyu.edu</w:t>
      </w:r>
    </w:p>
    <w:p w14:paraId="461318C2" w14:textId="77777777" w:rsidR="00066FEB" w:rsidRPr="00F10D3D" w:rsidRDefault="00066FEB" w:rsidP="00F10D3D">
      <w:pPr>
        <w:adjustRightInd w:val="0"/>
        <w:snapToGrid w:val="0"/>
        <w:spacing w:line="360" w:lineRule="auto"/>
        <w:ind w:right="200"/>
        <w:rPr>
          <w:rFonts w:ascii="Times New Roman" w:hAnsi="Times New Roman" w:cs="Times New Roman"/>
          <w:iCs/>
          <w:color w:val="000000" w:themeColor="text1"/>
          <w:sz w:val="24"/>
          <w:lang w:val="en-GB"/>
        </w:rPr>
      </w:pPr>
      <w:r w:rsidRPr="00F10D3D">
        <w:rPr>
          <w:rFonts w:ascii="Times New Roman" w:hAnsi="Times New Roman" w:cs="Times New Roman"/>
          <w:iCs/>
          <w:color w:val="000000" w:themeColor="text1"/>
          <w:sz w:val="24"/>
          <w:lang w:val="en-GB"/>
        </w:rPr>
        <w:t>Phone: +971-2-628-4899</w:t>
      </w:r>
    </w:p>
    <w:p w14:paraId="65A9B5EC" w14:textId="77777777" w:rsidR="00066FEB" w:rsidRPr="00F10D3D" w:rsidRDefault="00066FEB" w:rsidP="00F10D3D">
      <w:pPr>
        <w:adjustRightInd w:val="0"/>
        <w:snapToGrid w:val="0"/>
        <w:spacing w:line="360" w:lineRule="auto"/>
        <w:ind w:right="200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iCs/>
          <w:color w:val="000000" w:themeColor="text1"/>
          <w:sz w:val="24"/>
          <w:lang w:val="en-GB"/>
        </w:rPr>
        <w:t xml:space="preserve">Address: </w:t>
      </w:r>
      <w:r w:rsidRPr="00F10D3D">
        <w:rPr>
          <w:rFonts w:ascii="Times New Roman" w:hAnsi="Times New Roman" w:cs="Times New Roman"/>
          <w:iCs/>
          <w:color w:val="000000" w:themeColor="text1"/>
          <w:sz w:val="24"/>
        </w:rPr>
        <w:t xml:space="preserve">New York University Abu Dhabi (NYUAD), </w:t>
      </w:r>
      <w:proofErr w:type="spellStart"/>
      <w:r w:rsidRPr="00F10D3D">
        <w:rPr>
          <w:rFonts w:ascii="Times New Roman" w:hAnsi="Times New Roman" w:cs="Times New Roman"/>
          <w:iCs/>
          <w:color w:val="000000" w:themeColor="text1"/>
          <w:sz w:val="24"/>
        </w:rPr>
        <w:t>Saadiyat</w:t>
      </w:r>
      <w:proofErr w:type="spellEnd"/>
      <w:r w:rsidRPr="00F10D3D">
        <w:rPr>
          <w:rFonts w:ascii="Times New Roman" w:hAnsi="Times New Roman" w:cs="Times New Roman"/>
          <w:iCs/>
          <w:color w:val="000000" w:themeColor="text1"/>
          <w:sz w:val="24"/>
        </w:rPr>
        <w:t xml:space="preserve"> Campus, #C1-032, P.O. Box 129188, Abu Dhabi, </w:t>
      </w:r>
      <w:r w:rsidRPr="00F10D3D">
        <w:rPr>
          <w:rFonts w:ascii="Times New Roman" w:hAnsi="Times New Roman" w:cs="Times New Roman"/>
          <w:color w:val="000000" w:themeColor="text1"/>
          <w:sz w:val="24"/>
        </w:rPr>
        <w:t>United Arab Emirates</w:t>
      </w:r>
    </w:p>
    <w:p w14:paraId="24D55E9A" w14:textId="77777777" w:rsidR="00066FEB" w:rsidRPr="00F10D3D" w:rsidRDefault="00066FEB">
      <w:pPr>
        <w:widowControl/>
        <w:rPr>
          <w:noProof/>
          <w:color w:val="000000" w:themeColor="text1"/>
        </w:rPr>
      </w:pPr>
      <w:r w:rsidRPr="00F10D3D">
        <w:rPr>
          <w:noProof/>
          <w:color w:val="000000" w:themeColor="text1"/>
        </w:rPr>
        <w:br w:type="page"/>
      </w:r>
    </w:p>
    <w:p w14:paraId="1E1534B9" w14:textId="088E3F77" w:rsidR="002772C0" w:rsidRPr="00F10D3D" w:rsidRDefault="00512A69" w:rsidP="00F10D3D">
      <w:pPr>
        <w:jc w:val="center"/>
        <w:rPr>
          <w:color w:val="000000" w:themeColor="text1"/>
        </w:rPr>
      </w:pPr>
      <w:r w:rsidRPr="00F10D3D">
        <w:rPr>
          <w:noProof/>
          <w:color w:val="000000" w:themeColor="text1"/>
        </w:rPr>
        <w:lastRenderedPageBreak/>
        <w:drawing>
          <wp:inline distT="0" distB="0" distL="0" distR="0" wp14:anchorId="1C595E20" wp14:editId="35DF5FEA">
            <wp:extent cx="5308600" cy="7340600"/>
            <wp:effectExtent l="0" t="0" r="0" b="0"/>
            <wp:docPr id="98363330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633304" name="Picture 98363330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8600" cy="734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DB1E2" w14:textId="6F4262B6" w:rsidR="00BB0CF2" w:rsidRPr="00F10D3D" w:rsidRDefault="00301317">
      <w:pPr>
        <w:rPr>
          <w:rFonts w:ascii="Times New Roman" w:hAnsi="Times New Roman" w:cs="Times New Roman"/>
          <w:color w:val="000000" w:themeColor="text1"/>
          <w:sz w:val="24"/>
        </w:rPr>
      </w:pPr>
      <w:r w:rsidRPr="0030131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Supplementary </w:t>
      </w:r>
      <w:r w:rsidR="00604C30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Figure</w:t>
      </w:r>
      <w:r w:rsidR="00812C57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 </w:t>
      </w:r>
      <w:r w:rsidR="00693378">
        <w:rPr>
          <w:rFonts w:ascii="Times New Roman" w:hAnsi="Times New Roman" w:cs="Times New Roman"/>
          <w:b/>
          <w:bCs/>
          <w:color w:val="000000" w:themeColor="text1"/>
          <w:sz w:val="24"/>
        </w:rPr>
        <w:t>S</w:t>
      </w:r>
      <w:r w:rsidR="00604C30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1</w:t>
      </w:r>
      <w:r w:rsidR="00E12275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: </w:t>
      </w:r>
      <w:r w:rsidR="00F027C0" w:rsidRPr="00F10D3D">
        <w:rPr>
          <w:rFonts w:ascii="Times New Roman" w:hAnsi="Times New Roman" w:cs="Times New Roman"/>
          <w:color w:val="000000" w:themeColor="text1"/>
          <w:sz w:val="24"/>
        </w:rPr>
        <w:t>Compar</w:t>
      </w:r>
      <w:r w:rsidR="00121621" w:rsidRPr="00F10D3D">
        <w:rPr>
          <w:rFonts w:ascii="Times New Roman" w:hAnsi="Times New Roman" w:cs="Times New Roman"/>
          <w:color w:val="000000" w:themeColor="text1"/>
          <w:sz w:val="24"/>
        </w:rPr>
        <w:t xml:space="preserve">ative analysis for quality of endothelial cells </w:t>
      </w:r>
      <w:r w:rsidR="00D577A5" w:rsidRPr="00F10D3D">
        <w:rPr>
          <w:rFonts w:ascii="Times New Roman" w:hAnsi="Times New Roman" w:cs="Times New Roman"/>
          <w:color w:val="000000" w:themeColor="text1"/>
          <w:sz w:val="24"/>
        </w:rPr>
        <w:t xml:space="preserve">(ECs) derived from H9 </w:t>
      </w:r>
      <w:proofErr w:type="spellStart"/>
      <w:r w:rsidR="00D577A5" w:rsidRPr="00F10D3D">
        <w:rPr>
          <w:rFonts w:ascii="Times New Roman" w:hAnsi="Times New Roman" w:cs="Times New Roman"/>
          <w:color w:val="000000" w:themeColor="text1"/>
          <w:sz w:val="24"/>
        </w:rPr>
        <w:t>hESCs</w:t>
      </w:r>
      <w:proofErr w:type="spellEnd"/>
      <w:r w:rsidR="00D577A5" w:rsidRPr="00F10D3D">
        <w:rPr>
          <w:rFonts w:ascii="Times New Roman" w:hAnsi="Times New Roman" w:cs="Times New Roman"/>
          <w:color w:val="000000" w:themeColor="text1"/>
          <w:sz w:val="24"/>
        </w:rPr>
        <w:t>, by using</w:t>
      </w:r>
      <w:r w:rsidR="00121621" w:rsidRPr="00F10D3D">
        <w:rPr>
          <w:rFonts w:ascii="Times New Roman" w:hAnsi="Times New Roman" w:cs="Times New Roman"/>
          <w:color w:val="000000" w:themeColor="text1"/>
          <w:sz w:val="24"/>
        </w:rPr>
        <w:t xml:space="preserve"> the protocols in this study and the one developed by Takebe et al., </w:t>
      </w:r>
      <w:r w:rsidR="00121621" w:rsidRPr="00F10D3D">
        <w:rPr>
          <w:rFonts w:ascii="Times New Roman" w:hAnsi="Times New Roman" w:cs="Times New Roman"/>
          <w:i/>
          <w:iCs/>
          <w:color w:val="000000" w:themeColor="text1"/>
          <w:sz w:val="24"/>
        </w:rPr>
        <w:t>Cell Reports</w:t>
      </w:r>
      <w:r w:rsidR="00121621" w:rsidRPr="00F10D3D">
        <w:rPr>
          <w:rFonts w:ascii="Times New Roman" w:hAnsi="Times New Roman" w:cs="Times New Roman"/>
          <w:color w:val="000000" w:themeColor="text1"/>
          <w:sz w:val="24"/>
        </w:rPr>
        <w:t xml:space="preserve">, 2017. </w:t>
      </w:r>
      <w:r w:rsidR="00F027C0" w:rsidRPr="00F10D3D">
        <w:rPr>
          <w:rFonts w:ascii="Times New Roman" w:hAnsi="Times New Roman" w:cs="Times New Roman"/>
          <w:color w:val="000000" w:themeColor="text1"/>
          <w:sz w:val="24"/>
        </w:rPr>
        <w:t>endothelial differentiation protocols. (</w:t>
      </w:r>
      <w:r w:rsidR="00F027C0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A</w:t>
      </w:r>
      <w:r w:rsidR="00F027C0" w:rsidRPr="00F10D3D">
        <w:rPr>
          <w:rFonts w:ascii="Times New Roman" w:hAnsi="Times New Roman" w:cs="Times New Roman"/>
          <w:color w:val="000000" w:themeColor="text1"/>
          <w:sz w:val="24"/>
        </w:rPr>
        <w:t xml:space="preserve">) </w:t>
      </w:r>
      <w:r w:rsidR="00401CAC" w:rsidRPr="00F10D3D">
        <w:rPr>
          <w:rFonts w:ascii="Times New Roman" w:hAnsi="Times New Roman" w:cs="Times New Roman"/>
          <w:color w:val="000000" w:themeColor="text1"/>
          <w:sz w:val="24"/>
        </w:rPr>
        <w:t xml:space="preserve">A schematic illustration of the </w:t>
      </w:r>
      <w:r w:rsidR="003F0674" w:rsidRPr="00F10D3D">
        <w:rPr>
          <w:rFonts w:ascii="Times New Roman" w:hAnsi="Times New Roman" w:cs="Times New Roman"/>
          <w:color w:val="000000" w:themeColor="text1"/>
          <w:sz w:val="24"/>
        </w:rPr>
        <w:t xml:space="preserve">Takebe’s </w:t>
      </w:r>
      <w:r w:rsidR="00F027C0" w:rsidRPr="00F10D3D">
        <w:rPr>
          <w:rFonts w:ascii="Times New Roman" w:hAnsi="Times New Roman" w:cs="Times New Roman"/>
          <w:color w:val="000000" w:themeColor="text1"/>
          <w:sz w:val="24"/>
        </w:rPr>
        <w:t xml:space="preserve">protocol </w:t>
      </w:r>
      <w:r w:rsidR="003F0674" w:rsidRPr="00F10D3D">
        <w:rPr>
          <w:rFonts w:ascii="Times New Roman" w:hAnsi="Times New Roman" w:cs="Times New Roman"/>
          <w:color w:val="000000" w:themeColor="text1"/>
          <w:sz w:val="24"/>
        </w:rPr>
        <w:t xml:space="preserve">to differentiate </w:t>
      </w:r>
      <w:proofErr w:type="spellStart"/>
      <w:r w:rsidR="003F0674" w:rsidRPr="00F10D3D">
        <w:rPr>
          <w:rFonts w:ascii="Times New Roman" w:hAnsi="Times New Roman" w:cs="Times New Roman"/>
          <w:color w:val="000000" w:themeColor="text1"/>
          <w:sz w:val="24"/>
        </w:rPr>
        <w:t>hESCs</w:t>
      </w:r>
      <w:proofErr w:type="spellEnd"/>
      <w:r w:rsidR="003F0674" w:rsidRPr="00F10D3D">
        <w:rPr>
          <w:rFonts w:ascii="Times New Roman" w:hAnsi="Times New Roman" w:cs="Times New Roman"/>
          <w:color w:val="000000" w:themeColor="text1"/>
          <w:sz w:val="24"/>
        </w:rPr>
        <w:t xml:space="preserve"> to ECs</w:t>
      </w:r>
      <w:r w:rsidR="00401CAC" w:rsidRPr="00F10D3D">
        <w:rPr>
          <w:rFonts w:ascii="Times New Roman" w:hAnsi="Times New Roman" w:cs="Times New Roman"/>
          <w:color w:val="000000" w:themeColor="text1"/>
          <w:sz w:val="24"/>
        </w:rPr>
        <w:t>.</w:t>
      </w:r>
      <w:r w:rsidR="00F027C0" w:rsidRPr="00F10D3D">
        <w:rPr>
          <w:rFonts w:ascii="Times New Roman" w:hAnsi="Times New Roman" w:cs="Times New Roman"/>
          <w:color w:val="000000" w:themeColor="text1"/>
          <w:sz w:val="24"/>
        </w:rPr>
        <w:t xml:space="preserve"> (</w:t>
      </w:r>
      <w:r w:rsidR="00F027C0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B</w:t>
      </w:r>
      <w:r w:rsidR="00F027C0" w:rsidRPr="00F10D3D">
        <w:rPr>
          <w:rFonts w:ascii="Times New Roman" w:hAnsi="Times New Roman" w:cs="Times New Roman"/>
          <w:color w:val="000000" w:themeColor="text1"/>
          <w:sz w:val="24"/>
        </w:rPr>
        <w:t xml:space="preserve">) 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 xml:space="preserve">Representative </w:t>
      </w:r>
      <w:r w:rsidR="00033214" w:rsidRPr="00F10D3D">
        <w:rPr>
          <w:rFonts w:ascii="Times New Roman" w:hAnsi="Times New Roman" w:cs="Times New Roman"/>
          <w:color w:val="000000" w:themeColor="text1"/>
          <w:sz w:val="24"/>
        </w:rPr>
        <w:t>micro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>graphs of</w:t>
      </w:r>
      <w:r w:rsidR="0082595C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75123E" w:rsidRPr="00F10D3D">
        <w:rPr>
          <w:rFonts w:ascii="Times New Roman" w:hAnsi="Times New Roman" w:cs="Times New Roman"/>
          <w:color w:val="000000" w:themeColor="text1"/>
          <w:sz w:val="24"/>
        </w:rPr>
        <w:t xml:space="preserve">H9 </w:t>
      </w:r>
      <w:proofErr w:type="spellStart"/>
      <w:r w:rsidR="0075123E" w:rsidRPr="00F10D3D">
        <w:rPr>
          <w:rFonts w:ascii="Times New Roman" w:hAnsi="Times New Roman" w:cs="Times New Roman"/>
          <w:color w:val="000000" w:themeColor="text1"/>
          <w:sz w:val="24"/>
        </w:rPr>
        <w:t>hESC</w:t>
      </w:r>
      <w:proofErr w:type="spellEnd"/>
      <w:r w:rsidR="0075123E" w:rsidRPr="00F10D3D">
        <w:rPr>
          <w:rFonts w:ascii="Times New Roman" w:hAnsi="Times New Roman" w:cs="Times New Roman"/>
          <w:color w:val="000000" w:themeColor="text1"/>
          <w:sz w:val="24"/>
        </w:rPr>
        <w:t xml:space="preserve">-derived </w:t>
      </w:r>
      <w:r w:rsidR="0082595C" w:rsidRPr="00F10D3D">
        <w:rPr>
          <w:rFonts w:ascii="Times New Roman" w:hAnsi="Times New Roman" w:cs="Times New Roman"/>
          <w:color w:val="000000" w:themeColor="text1"/>
          <w:sz w:val="24"/>
        </w:rPr>
        <w:t>ECs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82595C" w:rsidRPr="00F10D3D">
        <w:rPr>
          <w:rFonts w:ascii="Times New Roman" w:hAnsi="Times New Roman" w:cs="Times New Roman"/>
          <w:color w:val="000000" w:themeColor="text1"/>
          <w:sz w:val="24"/>
        </w:rPr>
        <w:t xml:space="preserve">obtained 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 xml:space="preserve">with </w:t>
      </w:r>
      <w:r w:rsidR="0082595C" w:rsidRPr="00F10D3D">
        <w:rPr>
          <w:rFonts w:ascii="Times New Roman" w:hAnsi="Times New Roman" w:cs="Times New Roman"/>
          <w:color w:val="000000" w:themeColor="text1"/>
          <w:sz w:val="24"/>
        </w:rPr>
        <w:t xml:space="preserve">Takebe’s 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 xml:space="preserve">protocol. </w:t>
      </w:r>
      <w:r w:rsidR="0068439E" w:rsidRPr="00F10D3D">
        <w:rPr>
          <w:rFonts w:ascii="Times New Roman" w:hAnsi="Times New Roman" w:cs="Times New Roman"/>
          <w:color w:val="000000" w:themeColor="text1"/>
          <w:sz w:val="24"/>
        </w:rPr>
        <w:t>A s</w:t>
      </w:r>
      <w:r w:rsidR="006C673F" w:rsidRPr="00F10D3D">
        <w:rPr>
          <w:rFonts w:ascii="Times New Roman" w:hAnsi="Times New Roman" w:cs="Times New Roman"/>
          <w:color w:val="000000" w:themeColor="text1"/>
          <w:sz w:val="24"/>
        </w:rPr>
        <w:t xml:space="preserve">cale bar represents 100 µm. 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>(</w:t>
      </w:r>
      <w:r w:rsidR="00812C57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C</w:t>
      </w:r>
      <w:r w:rsidR="00812C57" w:rsidRPr="00F10D3D">
        <w:rPr>
          <w:rFonts w:ascii="Times New Roman" w:hAnsi="Times New Roman" w:cs="Times New Roman"/>
          <w:color w:val="000000" w:themeColor="text1"/>
          <w:sz w:val="24"/>
        </w:rPr>
        <w:t xml:space="preserve">) </w:t>
      </w:r>
      <w:r w:rsidR="00B67103" w:rsidRPr="00F10D3D">
        <w:rPr>
          <w:rFonts w:ascii="Times New Roman" w:hAnsi="Times New Roman" w:cs="Times New Roman"/>
          <w:color w:val="000000" w:themeColor="text1"/>
          <w:sz w:val="24"/>
        </w:rPr>
        <w:t xml:space="preserve">Representative </w:t>
      </w:r>
      <w:r w:rsidR="009525DD" w:rsidRPr="00F10D3D">
        <w:rPr>
          <w:rFonts w:ascii="Times New Roman" w:hAnsi="Times New Roman" w:cs="Times New Roman"/>
          <w:color w:val="000000" w:themeColor="text1"/>
          <w:sz w:val="24"/>
        </w:rPr>
        <w:t>micro</w:t>
      </w:r>
      <w:r w:rsidR="00B67103" w:rsidRPr="00F10D3D">
        <w:rPr>
          <w:rFonts w:ascii="Times New Roman" w:hAnsi="Times New Roman" w:cs="Times New Roman"/>
          <w:color w:val="000000" w:themeColor="text1"/>
          <w:sz w:val="24"/>
        </w:rPr>
        <w:t>graphs of</w:t>
      </w:r>
      <w:r w:rsidR="001C2D97" w:rsidRPr="00F10D3D">
        <w:rPr>
          <w:rFonts w:ascii="Times New Roman" w:hAnsi="Times New Roman" w:cs="Times New Roman"/>
          <w:color w:val="000000" w:themeColor="text1"/>
          <w:sz w:val="24"/>
        </w:rPr>
        <w:t xml:space="preserve"> H9 </w:t>
      </w:r>
      <w:proofErr w:type="spellStart"/>
      <w:r w:rsidR="001C2D97" w:rsidRPr="00F10D3D">
        <w:rPr>
          <w:rFonts w:ascii="Times New Roman" w:hAnsi="Times New Roman" w:cs="Times New Roman"/>
          <w:color w:val="000000" w:themeColor="text1"/>
          <w:sz w:val="24"/>
        </w:rPr>
        <w:t>hESC</w:t>
      </w:r>
      <w:proofErr w:type="spellEnd"/>
      <w:r w:rsidR="001C2D97" w:rsidRPr="00F10D3D">
        <w:rPr>
          <w:rFonts w:ascii="Times New Roman" w:hAnsi="Times New Roman" w:cs="Times New Roman"/>
          <w:color w:val="000000" w:themeColor="text1"/>
          <w:sz w:val="24"/>
        </w:rPr>
        <w:t xml:space="preserve">-derived ECs by using our protocol with </w:t>
      </w:r>
      <w:r w:rsidR="00D8622A" w:rsidRPr="00F10D3D">
        <w:rPr>
          <w:rFonts w:ascii="Times New Roman" w:hAnsi="Times New Roman" w:cs="Times New Roman"/>
          <w:color w:val="000000" w:themeColor="text1"/>
          <w:sz w:val="24"/>
        </w:rPr>
        <w:t xml:space="preserve">three </w:t>
      </w:r>
      <w:r w:rsidR="001C2D97" w:rsidRPr="00F10D3D">
        <w:rPr>
          <w:rFonts w:ascii="Times New Roman" w:hAnsi="Times New Roman" w:cs="Times New Roman"/>
          <w:color w:val="000000" w:themeColor="text1"/>
          <w:sz w:val="24"/>
        </w:rPr>
        <w:t xml:space="preserve">initial </w:t>
      </w:r>
      <w:r w:rsidR="001C2D97" w:rsidRPr="00F10D3D">
        <w:rPr>
          <w:rFonts w:ascii="Times New Roman" w:hAnsi="Times New Roman" w:cs="Times New Roman"/>
          <w:color w:val="000000" w:themeColor="text1"/>
          <w:sz w:val="24"/>
        </w:rPr>
        <w:lastRenderedPageBreak/>
        <w:t xml:space="preserve">cell seeding </w:t>
      </w:r>
      <w:r w:rsidR="00B67103" w:rsidRPr="00F10D3D">
        <w:rPr>
          <w:rFonts w:ascii="Times New Roman" w:hAnsi="Times New Roman" w:cs="Times New Roman"/>
          <w:color w:val="000000" w:themeColor="text1"/>
          <w:sz w:val="24"/>
        </w:rPr>
        <w:t>densit</w:t>
      </w:r>
      <w:r w:rsidR="001C2D97" w:rsidRPr="00F10D3D">
        <w:rPr>
          <w:rFonts w:ascii="Times New Roman" w:hAnsi="Times New Roman" w:cs="Times New Roman"/>
          <w:color w:val="000000" w:themeColor="text1"/>
          <w:sz w:val="24"/>
        </w:rPr>
        <w:t>ies</w:t>
      </w:r>
      <w:r w:rsidR="00B67103" w:rsidRPr="00F10D3D">
        <w:rPr>
          <w:rFonts w:ascii="Times New Roman" w:hAnsi="Times New Roman" w:cs="Times New Roman"/>
          <w:color w:val="000000" w:themeColor="text1"/>
          <w:sz w:val="24"/>
        </w:rPr>
        <w:t>.</w:t>
      </w:r>
      <w:r w:rsidR="000D33BE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D83524" w:rsidRPr="00F10D3D">
        <w:rPr>
          <w:rFonts w:ascii="Times New Roman" w:hAnsi="Times New Roman" w:cs="Times New Roman"/>
          <w:color w:val="000000" w:themeColor="text1"/>
          <w:sz w:val="24"/>
        </w:rPr>
        <w:t>A s</w:t>
      </w:r>
      <w:r w:rsidR="000D33BE" w:rsidRPr="00F10D3D">
        <w:rPr>
          <w:rFonts w:ascii="Times New Roman" w:hAnsi="Times New Roman" w:cs="Times New Roman"/>
          <w:color w:val="000000" w:themeColor="text1"/>
          <w:sz w:val="24"/>
        </w:rPr>
        <w:t xml:space="preserve">cale bars represent 100 µm. </w:t>
      </w:r>
      <w:r w:rsidR="00E11B94" w:rsidRPr="00F10D3D">
        <w:rPr>
          <w:rFonts w:ascii="Times New Roman" w:hAnsi="Times New Roman" w:cs="Times New Roman"/>
          <w:color w:val="000000" w:themeColor="text1"/>
          <w:sz w:val="24"/>
        </w:rPr>
        <w:t xml:space="preserve">(D) </w:t>
      </w:r>
      <w:r w:rsidR="00612BD2" w:rsidRPr="00F10D3D">
        <w:rPr>
          <w:rFonts w:ascii="Times New Roman" w:hAnsi="Times New Roman" w:cs="Times New Roman"/>
          <w:color w:val="000000" w:themeColor="text1"/>
          <w:sz w:val="24"/>
        </w:rPr>
        <w:t>Flow-cytometric analysis for VE-cadherin (CD144) and PECAM-1 (CD31)</w:t>
      </w:r>
      <w:r w:rsidR="00E11B94" w:rsidRPr="00F10D3D">
        <w:rPr>
          <w:rFonts w:ascii="Times New Roman" w:hAnsi="Times New Roman" w:cs="Times New Roman"/>
          <w:color w:val="000000" w:themeColor="text1"/>
          <w:sz w:val="24"/>
        </w:rPr>
        <w:t xml:space="preserve"> in ECs</w:t>
      </w:r>
      <w:r w:rsidR="00612BD2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E11B94" w:rsidRPr="00F10D3D">
        <w:rPr>
          <w:rFonts w:ascii="Times New Roman" w:hAnsi="Times New Roman" w:cs="Times New Roman"/>
          <w:color w:val="000000" w:themeColor="text1"/>
          <w:sz w:val="24"/>
        </w:rPr>
        <w:t>with three initial cell seeding densities</w:t>
      </w:r>
      <w:r w:rsidR="00612BD2" w:rsidRPr="00F10D3D">
        <w:rPr>
          <w:rFonts w:ascii="Times New Roman" w:hAnsi="Times New Roman" w:cs="Times New Roman"/>
          <w:color w:val="000000" w:themeColor="text1"/>
          <w:sz w:val="24"/>
        </w:rPr>
        <w:t>.</w:t>
      </w:r>
      <w:r w:rsidR="00E11B94" w:rsidRPr="00F10D3D">
        <w:rPr>
          <w:rFonts w:ascii="Times New Roman" w:hAnsi="Times New Roman" w:cs="Times New Roman"/>
          <w:color w:val="000000" w:themeColor="text1"/>
          <w:sz w:val="24"/>
        </w:rPr>
        <w:t xml:space="preserve"> Percentiles of CD144+ CD31+ cells are noted for each graph.</w:t>
      </w:r>
    </w:p>
    <w:p w14:paraId="61E2D2DF" w14:textId="477AE736" w:rsidR="00BB0CF2" w:rsidRPr="00F10D3D" w:rsidRDefault="00BB0CF2" w:rsidP="00286EFF">
      <w:pPr>
        <w:widowControl/>
        <w:rPr>
          <w:rFonts w:ascii="Times New Roman" w:hAnsi="Times New Roman" w:cs="Times New Roman"/>
          <w:color w:val="000000" w:themeColor="text1"/>
          <w:sz w:val="24"/>
        </w:rPr>
      </w:pPr>
    </w:p>
    <w:p w14:paraId="19F8FF0B" w14:textId="77777777" w:rsidR="00A62892" w:rsidRPr="00F10D3D" w:rsidRDefault="00A62892" w:rsidP="00505B92">
      <w:pPr>
        <w:rPr>
          <w:rFonts w:ascii="Times New Roman" w:hAnsi="Times New Roman" w:cs="Times New Roman"/>
          <w:b/>
          <w:bCs/>
          <w:color w:val="000000" w:themeColor="text1"/>
          <w:sz w:val="24"/>
        </w:rPr>
      </w:pPr>
    </w:p>
    <w:p w14:paraId="5F8971C0" w14:textId="6AF423BB" w:rsidR="00A62892" w:rsidRPr="00F10D3D" w:rsidRDefault="00B22FBB" w:rsidP="00F10D3D">
      <w:pPr>
        <w:jc w:val="center"/>
        <w:rPr>
          <w:rFonts w:ascii="Times New Roman" w:hAnsi="Times New Roman" w:cs="Times New Roman"/>
          <w:b/>
          <w:bCs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b/>
          <w:bCs/>
          <w:noProof/>
          <w:color w:val="000000" w:themeColor="text1"/>
          <w:sz w:val="24"/>
        </w:rPr>
        <w:drawing>
          <wp:inline distT="0" distB="0" distL="0" distR="0" wp14:anchorId="330BBF16" wp14:editId="1D420AAC">
            <wp:extent cx="1295400" cy="1358900"/>
            <wp:effectExtent l="0" t="0" r="0" b="0"/>
            <wp:docPr id="12193496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34963" name="Picture 12193496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FF1E0" w14:textId="60D1C498" w:rsidR="00286EFF" w:rsidRPr="00F10D3D" w:rsidRDefault="00301317" w:rsidP="00505B92">
      <w:pPr>
        <w:rPr>
          <w:rFonts w:ascii="Times New Roman" w:hAnsi="Times New Roman" w:cs="Times New Roman"/>
          <w:color w:val="000000" w:themeColor="text1"/>
          <w:sz w:val="24"/>
        </w:rPr>
      </w:pPr>
      <w:r w:rsidRPr="0030131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Supplementary </w:t>
      </w:r>
      <w:r w:rsidR="00286EFF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Figure </w:t>
      </w:r>
      <w:r w:rsidR="00693378">
        <w:rPr>
          <w:rFonts w:ascii="Times New Roman" w:hAnsi="Times New Roman" w:cs="Times New Roman"/>
          <w:b/>
          <w:bCs/>
          <w:color w:val="000000" w:themeColor="text1"/>
          <w:sz w:val="24"/>
        </w:rPr>
        <w:t>S</w:t>
      </w:r>
      <w:r w:rsidR="00286EFF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2: </w:t>
      </w:r>
      <w:r w:rsidR="007A379E" w:rsidRPr="00F10D3D">
        <w:rPr>
          <w:rFonts w:ascii="Times New Roman" w:hAnsi="Times New Roman" w:cs="Times New Roman"/>
          <w:color w:val="000000" w:themeColor="text1"/>
          <w:sz w:val="24"/>
        </w:rPr>
        <w:t xml:space="preserve">Flow-cytometric analysis for </w:t>
      </w:r>
      <w:r w:rsidR="00675183" w:rsidRPr="00F10D3D">
        <w:rPr>
          <w:rFonts w:ascii="Times New Roman" w:hAnsi="Times New Roman" w:cs="Times New Roman"/>
          <w:color w:val="000000" w:themeColor="text1"/>
          <w:sz w:val="24"/>
        </w:rPr>
        <w:t>CD144 (</w:t>
      </w:r>
      <w:r w:rsidR="007A379E" w:rsidRPr="00F10D3D">
        <w:rPr>
          <w:rFonts w:ascii="Times New Roman" w:hAnsi="Times New Roman" w:cs="Times New Roman"/>
          <w:color w:val="000000" w:themeColor="text1"/>
          <w:sz w:val="24"/>
        </w:rPr>
        <w:t xml:space="preserve">VE-cadherin) and </w:t>
      </w:r>
      <w:r w:rsidR="00675183" w:rsidRPr="00F10D3D">
        <w:rPr>
          <w:rFonts w:ascii="Times New Roman" w:hAnsi="Times New Roman" w:cs="Times New Roman"/>
          <w:color w:val="000000" w:themeColor="text1"/>
          <w:sz w:val="24"/>
        </w:rPr>
        <w:t>CD31 (</w:t>
      </w:r>
      <w:r w:rsidR="007A379E" w:rsidRPr="00F10D3D">
        <w:rPr>
          <w:rFonts w:ascii="Times New Roman" w:hAnsi="Times New Roman" w:cs="Times New Roman"/>
          <w:color w:val="000000" w:themeColor="text1"/>
          <w:sz w:val="24"/>
        </w:rPr>
        <w:t xml:space="preserve">PECAM-1) in K1 </w:t>
      </w:r>
      <w:proofErr w:type="spellStart"/>
      <w:r w:rsidR="007A379E" w:rsidRPr="00F10D3D">
        <w:rPr>
          <w:rFonts w:ascii="Times New Roman" w:hAnsi="Times New Roman" w:cs="Times New Roman"/>
          <w:color w:val="000000" w:themeColor="text1"/>
          <w:sz w:val="24"/>
        </w:rPr>
        <w:t>hESCs</w:t>
      </w:r>
      <w:proofErr w:type="spellEnd"/>
      <w:r w:rsidR="007A379E" w:rsidRPr="00F10D3D">
        <w:rPr>
          <w:rFonts w:ascii="Times New Roman" w:hAnsi="Times New Roman" w:cs="Times New Roman"/>
          <w:color w:val="000000" w:themeColor="text1"/>
          <w:sz w:val="24"/>
        </w:rPr>
        <w:t>-derived ECs.</w:t>
      </w:r>
      <w:r w:rsidR="007A1977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</w:p>
    <w:p w14:paraId="7E706254" w14:textId="3DB11819" w:rsidR="00286EFF" w:rsidRPr="00F10D3D" w:rsidRDefault="00286EFF" w:rsidP="00286EFF">
      <w:pPr>
        <w:widowControl/>
        <w:rPr>
          <w:rFonts w:ascii="Times New Roman" w:hAnsi="Times New Roman" w:cs="Times New Roman"/>
          <w:color w:val="000000" w:themeColor="text1"/>
          <w:sz w:val="24"/>
        </w:rPr>
      </w:pPr>
    </w:p>
    <w:p w14:paraId="6817B1A4" w14:textId="77777777" w:rsidR="009431BD" w:rsidRPr="00F10D3D" w:rsidRDefault="009431BD" w:rsidP="00286EFF">
      <w:pPr>
        <w:widowControl/>
        <w:rPr>
          <w:rFonts w:ascii="Times New Roman" w:hAnsi="Times New Roman" w:cs="Times New Roman"/>
          <w:color w:val="000000" w:themeColor="text1"/>
          <w:sz w:val="24"/>
        </w:rPr>
      </w:pPr>
    </w:p>
    <w:p w14:paraId="4DF63E7D" w14:textId="1DDC1A01" w:rsidR="00286EFF" w:rsidRPr="00F10D3D" w:rsidRDefault="00286EFF">
      <w:pPr>
        <w:widowControl/>
        <w:rPr>
          <w:rFonts w:ascii="Times New Roman" w:hAnsi="Times New Roman" w:cs="Times New Roman"/>
          <w:color w:val="000000" w:themeColor="text1"/>
          <w:sz w:val="24"/>
        </w:rPr>
      </w:pPr>
    </w:p>
    <w:p w14:paraId="3D7E9F46" w14:textId="298C8DA2" w:rsidR="00286EFF" w:rsidRPr="00F10D3D" w:rsidRDefault="002F076E" w:rsidP="00F10D3D">
      <w:pPr>
        <w:widowControl/>
        <w:jc w:val="center"/>
        <w:rPr>
          <w:rFonts w:ascii="Times New Roman" w:hAnsi="Times New Roman" w:cs="Times New Roman"/>
          <w:color w:val="000000" w:themeColor="text1"/>
          <w:sz w:val="24"/>
        </w:rPr>
      </w:pPr>
      <w:r w:rsidRPr="00F10D3D">
        <w:rPr>
          <w:rFonts w:ascii="Times New Roman" w:hAnsi="Times New Roman" w:cs="Times New Roman"/>
          <w:noProof/>
          <w:color w:val="000000" w:themeColor="text1"/>
          <w:sz w:val="24"/>
        </w:rPr>
        <w:drawing>
          <wp:inline distT="0" distB="0" distL="0" distR="0" wp14:anchorId="3D478BED" wp14:editId="005D2C49">
            <wp:extent cx="3611281" cy="3454400"/>
            <wp:effectExtent l="0" t="0" r="8255" b="0"/>
            <wp:docPr id="5803557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355735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281" cy="345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59A39" w14:textId="6A6FEB62" w:rsidR="00D65F6D" w:rsidRDefault="00301317" w:rsidP="00505B92">
      <w:pPr>
        <w:rPr>
          <w:rFonts w:ascii="Times New Roman" w:hAnsi="Times New Roman" w:cs="Times New Roman"/>
          <w:color w:val="000000" w:themeColor="text1"/>
          <w:sz w:val="24"/>
        </w:rPr>
      </w:pPr>
      <w:r w:rsidRPr="0030131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Supplementary </w:t>
      </w:r>
      <w:r w:rsidR="00286EFF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Figure </w:t>
      </w:r>
      <w:r w:rsidR="00693378">
        <w:rPr>
          <w:rFonts w:ascii="Times New Roman" w:hAnsi="Times New Roman" w:cs="Times New Roman"/>
          <w:b/>
          <w:bCs/>
          <w:color w:val="000000" w:themeColor="text1"/>
          <w:sz w:val="24"/>
        </w:rPr>
        <w:t>S</w:t>
      </w:r>
      <w:r w:rsidR="00286EFF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3:</w:t>
      </w:r>
      <w:r w:rsidR="00286EFF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95B40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Additional characterization of endothelial and epithelial markers.</w:t>
      </w:r>
      <w:r w:rsidR="004F4A48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 </w:t>
      </w:r>
      <w:r w:rsidR="00195B40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(A)</w:t>
      </w:r>
      <w:r w:rsidR="00195B40" w:rsidRPr="00F10D3D">
        <w:rPr>
          <w:rFonts w:ascii="Times New Roman" w:hAnsi="Times New Roman" w:cs="Times New Roman"/>
          <w:color w:val="000000" w:themeColor="text1"/>
          <w:sz w:val="24"/>
        </w:rPr>
        <w:t xml:space="preserve"> Immunofluorescence staining of hESC-derived endothelial cells (ECs) for the markers VEGFR2 (magenta) and von Willebrand Factor (vWF) (yellow). Nuclei are counterstained with DAPI (cyan). Scale bar represents 100 µm.</w:t>
      </w:r>
      <w:r w:rsidR="004F4A48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505B92" w:rsidRPr="00F10D3D">
        <w:rPr>
          <w:rFonts w:ascii="Times New Roman" w:hAnsi="Times New Roman" w:cs="Times New Roman"/>
          <w:color w:val="000000" w:themeColor="text1"/>
          <w:sz w:val="24"/>
        </w:rPr>
        <w:t>(</w:t>
      </w:r>
      <w:r w:rsidR="00505B92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>B</w:t>
      </w:r>
      <w:r w:rsidR="00505B92" w:rsidRPr="00F10D3D">
        <w:rPr>
          <w:rFonts w:ascii="Times New Roman" w:hAnsi="Times New Roman" w:cs="Times New Roman"/>
          <w:color w:val="000000" w:themeColor="text1"/>
          <w:sz w:val="24"/>
        </w:rPr>
        <w:t xml:space="preserve">) </w:t>
      </w:r>
      <w:r w:rsidR="004F4A48" w:rsidRPr="00F10D3D">
        <w:rPr>
          <w:rFonts w:ascii="Times New Roman" w:hAnsi="Times New Roman" w:cs="Times New Roman"/>
          <w:color w:val="000000" w:themeColor="text1"/>
          <w:sz w:val="24"/>
        </w:rPr>
        <w:t xml:space="preserve">Representative flow cytometry histogram illustrating the surface expression of the epithelial marker </w:t>
      </w:r>
      <w:proofErr w:type="spellStart"/>
      <w:r w:rsidR="004F4A48" w:rsidRPr="00F10D3D">
        <w:rPr>
          <w:rFonts w:ascii="Times New Roman" w:hAnsi="Times New Roman" w:cs="Times New Roman"/>
          <w:color w:val="000000" w:themeColor="text1"/>
          <w:sz w:val="24"/>
        </w:rPr>
        <w:t>EpCAM</w:t>
      </w:r>
      <w:proofErr w:type="spellEnd"/>
      <w:r w:rsidR="004F4A48" w:rsidRPr="00F10D3D">
        <w:rPr>
          <w:rFonts w:ascii="Times New Roman" w:hAnsi="Times New Roman" w:cs="Times New Roman"/>
          <w:color w:val="000000" w:themeColor="text1"/>
          <w:sz w:val="24"/>
        </w:rPr>
        <w:t xml:space="preserve"> on </w:t>
      </w:r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 xml:space="preserve">H9 </w:t>
      </w:r>
      <w:proofErr w:type="spellStart"/>
      <w:r w:rsidR="004F4A48" w:rsidRPr="00F10D3D">
        <w:rPr>
          <w:rFonts w:ascii="Times New Roman" w:hAnsi="Times New Roman" w:cs="Times New Roman"/>
          <w:color w:val="000000" w:themeColor="text1"/>
          <w:sz w:val="24"/>
        </w:rPr>
        <w:t>hESC</w:t>
      </w:r>
      <w:proofErr w:type="spellEnd"/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>-derived ECs</w:t>
      </w:r>
      <w:r w:rsidR="00505B92" w:rsidRPr="00F10D3D">
        <w:rPr>
          <w:rFonts w:ascii="Times New Roman" w:hAnsi="Times New Roman" w:cs="Times New Roman"/>
          <w:color w:val="000000" w:themeColor="text1"/>
          <w:sz w:val="24"/>
        </w:rPr>
        <w:t>.</w:t>
      </w:r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 xml:space="preserve"> HUVECs and CaCO-2 cells were used as negative and positive </w:t>
      </w:r>
      <w:r w:rsidR="00E26AD4" w:rsidRPr="00F10D3D">
        <w:rPr>
          <w:rFonts w:ascii="Times New Roman" w:hAnsi="Times New Roman" w:cs="Times New Roman"/>
          <w:color w:val="000000" w:themeColor="text1"/>
          <w:sz w:val="24"/>
        </w:rPr>
        <w:t>controls</w:t>
      </w:r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 xml:space="preserve"> of</w:t>
      </w:r>
      <w:r w:rsidR="00505B92" w:rsidRPr="00F10D3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 xml:space="preserve">the epithelial marker </w:t>
      </w:r>
      <w:proofErr w:type="spellStart"/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>EpCAM</w:t>
      </w:r>
      <w:proofErr w:type="spellEnd"/>
      <w:r w:rsidR="00406C67" w:rsidRPr="00F10D3D">
        <w:rPr>
          <w:rFonts w:ascii="Times New Roman" w:hAnsi="Times New Roman" w:cs="Times New Roman"/>
          <w:color w:val="000000" w:themeColor="text1"/>
          <w:sz w:val="24"/>
        </w:rPr>
        <w:t>, respectively</w:t>
      </w:r>
      <w:r w:rsidR="0048798A" w:rsidRPr="00F10D3D">
        <w:rPr>
          <w:rFonts w:ascii="Times New Roman" w:hAnsi="Times New Roman" w:cs="Times New Roman"/>
          <w:color w:val="000000" w:themeColor="text1"/>
          <w:sz w:val="24"/>
        </w:rPr>
        <w:t>.</w:t>
      </w:r>
    </w:p>
    <w:p w14:paraId="48924AF8" w14:textId="62A60B95" w:rsidR="00D65F6D" w:rsidRDefault="00301317" w:rsidP="00505B92">
      <w:pPr>
        <w:rPr>
          <w:rFonts w:ascii="Times New Roman" w:hAnsi="Times New Roman" w:cs="Times New Roman"/>
          <w:color w:val="000000" w:themeColor="text1"/>
          <w:sz w:val="24"/>
        </w:rPr>
      </w:pPr>
      <w:r w:rsidRPr="00301317">
        <w:rPr>
          <w:rFonts w:ascii="Times New Roman" w:hAnsi="Times New Roman" w:cs="Times New Roman"/>
          <w:b/>
          <w:bCs/>
          <w:color w:val="000000" w:themeColor="text1"/>
          <w:sz w:val="24"/>
        </w:rPr>
        <w:lastRenderedPageBreak/>
        <w:t xml:space="preserve">Supplementary </w:t>
      </w:r>
      <w:r w:rsidR="00D65F6D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Table </w:t>
      </w:r>
      <w:r w:rsidR="00693378">
        <w:rPr>
          <w:rFonts w:ascii="Times New Roman" w:hAnsi="Times New Roman" w:cs="Times New Roman"/>
          <w:b/>
          <w:bCs/>
          <w:color w:val="000000" w:themeColor="text1"/>
          <w:sz w:val="24"/>
        </w:rPr>
        <w:t>S</w:t>
      </w:r>
      <w:r w:rsidR="00D65F6D" w:rsidRPr="00F10D3D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1: </w:t>
      </w:r>
      <w:r w:rsidR="0053384C" w:rsidRPr="00F10D3D">
        <w:rPr>
          <w:rFonts w:ascii="Times New Roman" w:hAnsi="Times New Roman" w:cs="Times New Roman"/>
          <w:color w:val="000000" w:themeColor="text1"/>
          <w:sz w:val="24"/>
        </w:rPr>
        <w:t>Gene list of K-means cluster</w:t>
      </w:r>
      <w:r w:rsidR="0053384C">
        <w:rPr>
          <w:rFonts w:ascii="Times New Roman" w:hAnsi="Times New Roman" w:cs="Times New Roman"/>
          <w:color w:val="000000" w:themeColor="text1"/>
          <w:sz w:val="24"/>
        </w:rPr>
        <w:t>ed</w:t>
      </w:r>
      <w:r w:rsidR="0053384C" w:rsidRPr="00F10D3D">
        <w:rPr>
          <w:rFonts w:ascii="Times New Roman" w:hAnsi="Times New Roman" w:cs="Times New Roman"/>
          <w:color w:val="000000" w:themeColor="text1"/>
          <w:sz w:val="24"/>
        </w:rPr>
        <w:t xml:space="preserve"> most variable genes from BRB-seq transcriptional comparison of </w:t>
      </w:r>
      <w:proofErr w:type="spellStart"/>
      <w:r w:rsidR="0053384C" w:rsidRPr="00F10D3D">
        <w:rPr>
          <w:rFonts w:ascii="Times New Roman" w:hAnsi="Times New Roman" w:cs="Times New Roman"/>
          <w:color w:val="000000" w:themeColor="text1"/>
          <w:sz w:val="24"/>
        </w:rPr>
        <w:t>hESC</w:t>
      </w:r>
      <w:proofErr w:type="spellEnd"/>
      <w:r w:rsidR="0053384C" w:rsidRPr="00F10D3D">
        <w:rPr>
          <w:rFonts w:ascii="Times New Roman" w:hAnsi="Times New Roman" w:cs="Times New Roman"/>
          <w:color w:val="000000" w:themeColor="text1"/>
          <w:sz w:val="24"/>
        </w:rPr>
        <w:t xml:space="preserve">-derived endothelial cells, </w:t>
      </w:r>
      <w:proofErr w:type="spellStart"/>
      <w:r w:rsidR="0053384C" w:rsidRPr="00F10D3D">
        <w:rPr>
          <w:rFonts w:ascii="Times New Roman" w:hAnsi="Times New Roman" w:cs="Times New Roman"/>
          <w:color w:val="000000" w:themeColor="text1"/>
          <w:sz w:val="24"/>
        </w:rPr>
        <w:t>hESCs</w:t>
      </w:r>
      <w:proofErr w:type="spellEnd"/>
      <w:r w:rsidR="0053384C" w:rsidRPr="00F10D3D">
        <w:rPr>
          <w:rFonts w:ascii="Times New Roman" w:hAnsi="Times New Roman" w:cs="Times New Roman"/>
          <w:color w:val="000000" w:themeColor="text1"/>
          <w:sz w:val="24"/>
        </w:rPr>
        <w:t>, and HUVECs revealed four gene sets with distinct pathway enrichments</w:t>
      </w:r>
    </w:p>
    <w:p w14:paraId="490C76D8" w14:textId="77777777" w:rsidR="0053384C" w:rsidRDefault="0053384C" w:rsidP="00505B92">
      <w:pPr>
        <w:rPr>
          <w:rFonts w:ascii="Times New Roman" w:hAnsi="Times New Roman" w:cs="Times New Roman"/>
          <w:color w:val="000000" w:themeColor="text1"/>
          <w:sz w:val="24"/>
        </w:rPr>
      </w:pPr>
    </w:p>
    <w:p w14:paraId="494C5FE8" w14:textId="17172C12" w:rsidR="0053384C" w:rsidRDefault="00301317" w:rsidP="00505B92">
      <w:pPr>
        <w:rPr>
          <w:rFonts w:ascii="Times New Roman" w:hAnsi="Times New Roman" w:cs="Times New Roman"/>
          <w:color w:val="000000" w:themeColor="text1"/>
          <w:sz w:val="24"/>
        </w:rPr>
      </w:pPr>
      <w:r w:rsidRPr="0030131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Supplementary </w:t>
      </w:r>
      <w:r w:rsidR="0053384C" w:rsidRPr="0011620B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Table </w:t>
      </w:r>
      <w:r w:rsidR="00693378">
        <w:rPr>
          <w:rFonts w:ascii="Times New Roman" w:hAnsi="Times New Roman" w:cs="Times New Roman"/>
          <w:b/>
          <w:bCs/>
          <w:color w:val="000000" w:themeColor="text1"/>
          <w:sz w:val="24"/>
        </w:rPr>
        <w:t>S</w:t>
      </w:r>
      <w:r w:rsidR="0053384C">
        <w:rPr>
          <w:rFonts w:ascii="Times New Roman" w:hAnsi="Times New Roman" w:cs="Times New Roman"/>
          <w:b/>
          <w:bCs/>
          <w:color w:val="000000" w:themeColor="text1"/>
          <w:sz w:val="24"/>
        </w:rPr>
        <w:t>2</w:t>
      </w:r>
      <w:r w:rsidR="0053384C" w:rsidRPr="0011620B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: </w:t>
      </w:r>
      <w:r w:rsidR="00B52DBC" w:rsidRPr="00F10D3D">
        <w:rPr>
          <w:rFonts w:ascii="Times New Roman" w:hAnsi="Times New Roman" w:cs="Times New Roman"/>
          <w:color w:val="000000" w:themeColor="text1"/>
          <w:sz w:val="24"/>
        </w:rPr>
        <w:t xml:space="preserve">Enriched </w:t>
      </w:r>
      <w:r w:rsidR="0053384C">
        <w:rPr>
          <w:rFonts w:ascii="Times New Roman" w:hAnsi="Times New Roman" w:cs="Times New Roman"/>
          <w:color w:val="000000" w:themeColor="text1"/>
          <w:sz w:val="24"/>
        </w:rPr>
        <w:t xml:space="preserve">Gene </w:t>
      </w:r>
      <w:r w:rsidR="00F204E9">
        <w:rPr>
          <w:rFonts w:ascii="Times New Roman" w:hAnsi="Times New Roman" w:cs="Times New Roman"/>
          <w:color w:val="000000" w:themeColor="text1"/>
          <w:sz w:val="24"/>
        </w:rPr>
        <w:t>O</w:t>
      </w:r>
      <w:r w:rsidR="0053384C">
        <w:rPr>
          <w:rFonts w:ascii="Times New Roman" w:hAnsi="Times New Roman" w:cs="Times New Roman"/>
          <w:color w:val="000000" w:themeColor="text1"/>
          <w:sz w:val="24"/>
        </w:rPr>
        <w:t xml:space="preserve">ntology terms with </w:t>
      </w:r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K-means cluster</w:t>
      </w:r>
      <w:r w:rsidR="0053384C">
        <w:rPr>
          <w:rFonts w:ascii="Times New Roman" w:hAnsi="Times New Roman" w:cs="Times New Roman"/>
          <w:color w:val="000000" w:themeColor="text1"/>
          <w:sz w:val="24"/>
        </w:rPr>
        <w:t>ed</w:t>
      </w:r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 xml:space="preserve"> most variable genes from BRB-seq transcriptional comparison of </w:t>
      </w:r>
      <w:proofErr w:type="spellStart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hESC</w:t>
      </w:r>
      <w:proofErr w:type="spellEnd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 xml:space="preserve">-derived endothelial cells, </w:t>
      </w:r>
      <w:proofErr w:type="spellStart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hESCs</w:t>
      </w:r>
      <w:proofErr w:type="spellEnd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, and HUVECs revealed four gene sets with distinct pathway enrichments</w:t>
      </w:r>
    </w:p>
    <w:p w14:paraId="50AD9E17" w14:textId="77777777" w:rsidR="0053384C" w:rsidRDefault="0053384C" w:rsidP="00505B92">
      <w:pPr>
        <w:rPr>
          <w:rFonts w:ascii="Times New Roman" w:hAnsi="Times New Roman" w:cs="Times New Roman"/>
          <w:color w:val="000000" w:themeColor="text1"/>
          <w:sz w:val="24"/>
        </w:rPr>
      </w:pPr>
    </w:p>
    <w:p w14:paraId="4845C8C3" w14:textId="6F027951" w:rsidR="0053384C" w:rsidRDefault="00301317" w:rsidP="0053384C">
      <w:pPr>
        <w:rPr>
          <w:rFonts w:ascii="Times New Roman" w:hAnsi="Times New Roman" w:cs="Times New Roman"/>
          <w:color w:val="000000" w:themeColor="text1"/>
          <w:sz w:val="24"/>
        </w:rPr>
      </w:pPr>
      <w:r w:rsidRPr="0030131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Supplementary </w:t>
      </w:r>
      <w:r w:rsidR="0053384C" w:rsidRPr="0011620B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Table </w:t>
      </w:r>
      <w:r w:rsidR="00693378">
        <w:rPr>
          <w:rFonts w:ascii="Times New Roman" w:hAnsi="Times New Roman" w:cs="Times New Roman"/>
          <w:b/>
          <w:bCs/>
          <w:color w:val="000000" w:themeColor="text1"/>
          <w:sz w:val="24"/>
        </w:rPr>
        <w:t>S</w:t>
      </w:r>
      <w:r w:rsidR="00ED7318">
        <w:rPr>
          <w:rFonts w:ascii="Times New Roman" w:hAnsi="Times New Roman" w:cs="Times New Roman"/>
          <w:b/>
          <w:bCs/>
          <w:color w:val="000000" w:themeColor="text1"/>
          <w:sz w:val="24"/>
        </w:rPr>
        <w:t>3</w:t>
      </w:r>
      <w:r w:rsidR="0053384C" w:rsidRPr="0011620B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: </w:t>
      </w:r>
      <w:r w:rsidR="0053384C">
        <w:rPr>
          <w:rFonts w:ascii="Times New Roman" w:hAnsi="Times New Roman" w:cs="Times New Roman"/>
          <w:color w:val="000000" w:themeColor="text1"/>
          <w:sz w:val="24"/>
        </w:rPr>
        <w:t xml:space="preserve">Enriched pathways with </w:t>
      </w:r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K-means cluster</w:t>
      </w:r>
      <w:r w:rsidR="0053384C">
        <w:rPr>
          <w:rFonts w:ascii="Times New Roman" w:hAnsi="Times New Roman" w:cs="Times New Roman"/>
          <w:color w:val="000000" w:themeColor="text1"/>
          <w:sz w:val="24"/>
        </w:rPr>
        <w:t>ed</w:t>
      </w:r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 xml:space="preserve"> most variable genes from BRB-seq transcriptional comparison of </w:t>
      </w:r>
      <w:proofErr w:type="spellStart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hESC</w:t>
      </w:r>
      <w:proofErr w:type="spellEnd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 xml:space="preserve">-derived endothelial cells, </w:t>
      </w:r>
      <w:proofErr w:type="spellStart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hESCs</w:t>
      </w:r>
      <w:proofErr w:type="spellEnd"/>
      <w:r w:rsidR="0053384C" w:rsidRPr="0011620B">
        <w:rPr>
          <w:rFonts w:ascii="Times New Roman" w:hAnsi="Times New Roman" w:cs="Times New Roman"/>
          <w:color w:val="000000" w:themeColor="text1"/>
          <w:sz w:val="24"/>
        </w:rPr>
        <w:t>, and HUVECs revealed four gene sets with distinct pathway enrichments</w:t>
      </w:r>
    </w:p>
    <w:p w14:paraId="442AAF3B" w14:textId="3833B01D" w:rsidR="0053384C" w:rsidRPr="00F10D3D" w:rsidRDefault="0053384C" w:rsidP="00505B92">
      <w:pPr>
        <w:rPr>
          <w:rFonts w:ascii="Times New Roman" w:hAnsi="Times New Roman" w:cs="Times New Roman"/>
          <w:color w:val="000000" w:themeColor="text1"/>
          <w:sz w:val="24"/>
        </w:rPr>
      </w:pPr>
    </w:p>
    <w:p w14:paraId="0B7A43D9" w14:textId="2F50C0DC" w:rsidR="00286EFF" w:rsidRPr="00F10D3D" w:rsidRDefault="00286EFF" w:rsidP="00F10D3D">
      <w:pPr>
        <w:rPr>
          <w:rFonts w:ascii="Times New Roman" w:hAnsi="Times New Roman" w:cs="Times New Roman"/>
          <w:color w:val="000000" w:themeColor="text1"/>
          <w:sz w:val="24"/>
        </w:rPr>
      </w:pPr>
    </w:p>
    <w:sectPr w:rsidR="00286EFF" w:rsidRPr="00F10D3D" w:rsidSect="002772C0">
      <w:pgSz w:w="11906" w:h="16838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406CF7" w14:textId="77777777" w:rsidR="00D26493" w:rsidRDefault="00D26493" w:rsidP="00F027C0">
      <w:r>
        <w:separator/>
      </w:r>
    </w:p>
  </w:endnote>
  <w:endnote w:type="continuationSeparator" w:id="0">
    <w:p w14:paraId="547C8B7A" w14:textId="77777777" w:rsidR="00D26493" w:rsidRDefault="00D26493" w:rsidP="00F02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020F4C" w14:textId="77777777" w:rsidR="00D26493" w:rsidRDefault="00D26493" w:rsidP="00F027C0">
      <w:r>
        <w:separator/>
      </w:r>
    </w:p>
  </w:footnote>
  <w:footnote w:type="continuationSeparator" w:id="0">
    <w:p w14:paraId="4C693771" w14:textId="77777777" w:rsidR="00D26493" w:rsidRDefault="00D26493" w:rsidP="00F027C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1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72C0"/>
    <w:rsid w:val="00033214"/>
    <w:rsid w:val="00040CDD"/>
    <w:rsid w:val="00066FEB"/>
    <w:rsid w:val="00067C5E"/>
    <w:rsid w:val="00086968"/>
    <w:rsid w:val="000C00ED"/>
    <w:rsid w:val="000D33BE"/>
    <w:rsid w:val="00121621"/>
    <w:rsid w:val="0019241C"/>
    <w:rsid w:val="00195B40"/>
    <w:rsid w:val="001A26CC"/>
    <w:rsid w:val="001B60CD"/>
    <w:rsid w:val="001B7DA6"/>
    <w:rsid w:val="001C2D97"/>
    <w:rsid w:val="001F1D24"/>
    <w:rsid w:val="00200543"/>
    <w:rsid w:val="0022547C"/>
    <w:rsid w:val="00234867"/>
    <w:rsid w:val="00236610"/>
    <w:rsid w:val="00246AA9"/>
    <w:rsid w:val="00274223"/>
    <w:rsid w:val="002772C0"/>
    <w:rsid w:val="002860C6"/>
    <w:rsid w:val="00286EFF"/>
    <w:rsid w:val="002E04E4"/>
    <w:rsid w:val="002F076E"/>
    <w:rsid w:val="002F3E9F"/>
    <w:rsid w:val="00301317"/>
    <w:rsid w:val="00326DF6"/>
    <w:rsid w:val="003378F8"/>
    <w:rsid w:val="003F0674"/>
    <w:rsid w:val="00401CAC"/>
    <w:rsid w:val="00406C67"/>
    <w:rsid w:val="0048798A"/>
    <w:rsid w:val="004D3B89"/>
    <w:rsid w:val="004F4A48"/>
    <w:rsid w:val="00505B92"/>
    <w:rsid w:val="00512A69"/>
    <w:rsid w:val="00514B15"/>
    <w:rsid w:val="0053384C"/>
    <w:rsid w:val="00544AE1"/>
    <w:rsid w:val="005837C6"/>
    <w:rsid w:val="00604C30"/>
    <w:rsid w:val="00612BD2"/>
    <w:rsid w:val="006570D0"/>
    <w:rsid w:val="00661ECF"/>
    <w:rsid w:val="00675183"/>
    <w:rsid w:val="0068439E"/>
    <w:rsid w:val="00684C4C"/>
    <w:rsid w:val="00692AD5"/>
    <w:rsid w:val="00693378"/>
    <w:rsid w:val="006C673F"/>
    <w:rsid w:val="0075050C"/>
    <w:rsid w:val="0075123E"/>
    <w:rsid w:val="00752964"/>
    <w:rsid w:val="007A1977"/>
    <w:rsid w:val="007A379E"/>
    <w:rsid w:val="007E6ECC"/>
    <w:rsid w:val="00812C57"/>
    <w:rsid w:val="00822F76"/>
    <w:rsid w:val="0082595C"/>
    <w:rsid w:val="008307DF"/>
    <w:rsid w:val="0085394B"/>
    <w:rsid w:val="008C2C6B"/>
    <w:rsid w:val="008C607A"/>
    <w:rsid w:val="008D644B"/>
    <w:rsid w:val="009431BD"/>
    <w:rsid w:val="009525DD"/>
    <w:rsid w:val="00971B9F"/>
    <w:rsid w:val="00A11A59"/>
    <w:rsid w:val="00A62892"/>
    <w:rsid w:val="00A8023D"/>
    <w:rsid w:val="00B22FBB"/>
    <w:rsid w:val="00B46899"/>
    <w:rsid w:val="00B52DBC"/>
    <w:rsid w:val="00B67103"/>
    <w:rsid w:val="00B735D5"/>
    <w:rsid w:val="00BB0CF2"/>
    <w:rsid w:val="00BE3BC0"/>
    <w:rsid w:val="00CB397E"/>
    <w:rsid w:val="00CB5C40"/>
    <w:rsid w:val="00CD1CD4"/>
    <w:rsid w:val="00CD353C"/>
    <w:rsid w:val="00D24009"/>
    <w:rsid w:val="00D26493"/>
    <w:rsid w:val="00D577A5"/>
    <w:rsid w:val="00D65F6D"/>
    <w:rsid w:val="00D82F0D"/>
    <w:rsid w:val="00D83524"/>
    <w:rsid w:val="00D8622A"/>
    <w:rsid w:val="00D970D0"/>
    <w:rsid w:val="00DE55A3"/>
    <w:rsid w:val="00E11B94"/>
    <w:rsid w:val="00E12275"/>
    <w:rsid w:val="00E26AD4"/>
    <w:rsid w:val="00E32736"/>
    <w:rsid w:val="00ED7318"/>
    <w:rsid w:val="00F027C0"/>
    <w:rsid w:val="00F10D3D"/>
    <w:rsid w:val="00F204E9"/>
    <w:rsid w:val="00F35185"/>
    <w:rsid w:val="00F72C25"/>
    <w:rsid w:val="00F740E2"/>
    <w:rsid w:val="00F95682"/>
    <w:rsid w:val="00FA401D"/>
    <w:rsid w:val="00FE0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9C110C9"/>
  <w15:chartTrackingRefBased/>
  <w15:docId w15:val="{5CABD434-B5F9-49E7-BD3F-4822B62966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384C"/>
    <w:pPr>
      <w:widowControl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2772C0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72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72C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72C0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72C0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72C0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72C0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72C0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72C0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72C0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72C0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72C0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72C0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72C0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72C0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72C0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72C0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72C0"/>
    <w:rPr>
      <w:rFonts w:asciiTheme="majorHAnsi" w:eastAsiaTheme="majorEastAsia" w:hAnsiTheme="majorHAnsi" w:cstheme="majorBidi"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2772C0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72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72C0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72C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72C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72C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72C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72C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72C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72C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72C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027C0"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027C0"/>
  </w:style>
  <w:style w:type="paragraph" w:styleId="Footer">
    <w:name w:val="footer"/>
    <w:basedOn w:val="Normal"/>
    <w:link w:val="FooterChar"/>
    <w:uiPriority w:val="99"/>
    <w:unhideWhenUsed/>
    <w:rsid w:val="00F027C0"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F027C0"/>
  </w:style>
  <w:style w:type="paragraph" w:styleId="BodyText">
    <w:name w:val="Body Text"/>
    <w:basedOn w:val="Normal"/>
    <w:link w:val="BodyTextChar"/>
    <w:uiPriority w:val="1"/>
    <w:qFormat/>
    <w:rsid w:val="00066FEB"/>
    <w:pPr>
      <w:autoSpaceDE w:val="0"/>
      <w:autoSpaceDN w:val="0"/>
      <w:adjustRightInd w:val="0"/>
    </w:pPr>
    <w:rPr>
      <w:rFonts w:ascii="Arial" w:hAnsi="Arial" w:cs="Arial"/>
      <w:kern w:val="0"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066FEB"/>
    <w:rPr>
      <w:rFonts w:ascii="Arial" w:hAnsi="Arial" w:cs="Arial"/>
      <w:kern w:val="0"/>
      <w:sz w:val="20"/>
      <w:szCs w:val="20"/>
      <w:lang w:eastAsia="en-US"/>
    </w:rPr>
  </w:style>
  <w:style w:type="paragraph" w:styleId="Revision">
    <w:name w:val="Revision"/>
    <w:hidden/>
    <w:uiPriority w:val="99"/>
    <w:semiHidden/>
    <w:rsid w:val="002E04E4"/>
  </w:style>
  <w:style w:type="paragraph" w:styleId="NormalWeb">
    <w:name w:val="Normal (Web)"/>
    <w:basedOn w:val="Normal"/>
    <w:uiPriority w:val="99"/>
    <w:semiHidden/>
    <w:unhideWhenUsed/>
    <w:rsid w:val="00195B40"/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785402-80C3-49B7-B3F7-B8364C9418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4</Pages>
  <Words>547</Words>
  <Characters>3118</Characters>
  <Application>Microsoft Office Word</Application>
  <DocSecurity>0</DocSecurity>
  <Lines>25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yoshimoto.koki.5a@ms.c.kyoto-u.ac.jp</dc:creator>
  <cp:keywords/>
  <dc:description/>
  <cp:lastModifiedBy>Kenichiro Kamei</cp:lastModifiedBy>
  <cp:revision>49</cp:revision>
  <dcterms:created xsi:type="dcterms:W3CDTF">2025-09-13T00:36:00Z</dcterms:created>
  <dcterms:modified xsi:type="dcterms:W3CDTF">2025-10-16T05:40:00Z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http://www.zotero.org/styles/american-political-science-association</vt:lpwstr>
  </property>
  <property fmtid="{D5CDD505-2E9C-101B-9397-08002B2CF9AE}" pid="3" name="Mendeley Recent Style Name 0_1">
    <vt:lpwstr>American Political Science Association</vt:lpwstr>
  </property>
  <property fmtid="{D5CDD505-2E9C-101B-9397-08002B2CF9AE}" pid="4" name="Mendeley Recent Style Id 1_1">
    <vt:lpwstr>http://www.zotero.org/styles/harvard-cite-them-right</vt:lpwstr>
  </property>
  <property fmtid="{D5CDD505-2E9C-101B-9397-08002B2CF9AE}" pid="5" name="Mendeley Recent Style Name 1_1">
    <vt:lpwstr>Cite Them Right 10th edition - Harvard</vt:lpwstr>
  </property>
  <property fmtid="{D5CDD505-2E9C-101B-9397-08002B2CF9AE}" pid="6" name="Mendeley Recent Style Id 2_1">
    <vt:lpwstr>http://www.zotero.org/styles/hepatology</vt:lpwstr>
  </property>
  <property fmtid="{D5CDD505-2E9C-101B-9397-08002B2CF9AE}" pid="7" name="Mendeley Recent Style Name 2_1">
    <vt:lpwstr>Hepatology</vt:lpwstr>
  </property>
  <property fmtid="{D5CDD505-2E9C-101B-9397-08002B2CF9AE}" pid="8" name="Mendeley Recent Style Id 3_1">
    <vt:lpwstr>http://www.zotero.org/styles/ieee</vt:lpwstr>
  </property>
  <property fmtid="{D5CDD505-2E9C-101B-9397-08002B2CF9AE}" pid="9" name="Mendeley Recent Style Name 3_1">
    <vt:lpwstr>IEEE</vt:lpwstr>
  </property>
  <property fmtid="{D5CDD505-2E9C-101B-9397-08002B2CF9AE}" pid="10" name="Mendeley Recent Style Id 4_1">
    <vt:lpwstr>http://www.zotero.org/styles/journal-of-hepatology</vt:lpwstr>
  </property>
  <property fmtid="{D5CDD505-2E9C-101B-9397-08002B2CF9AE}" pid="11" name="Mendeley Recent Style Name 4_1">
    <vt:lpwstr>Journal of Hepatology</vt:lpwstr>
  </property>
  <property fmtid="{D5CDD505-2E9C-101B-9397-08002B2CF9AE}" pid="12" name="Mendeley Recent Style Id 5_1">
    <vt:lpwstr>http://www.zotero.org/styles/lab-on-a-chip</vt:lpwstr>
  </property>
  <property fmtid="{D5CDD505-2E9C-101B-9397-08002B2CF9AE}" pid="13" name="Mendeley Recent Style Name 5_1">
    <vt:lpwstr>Lab on a Chip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8th edition</vt:lpwstr>
  </property>
  <property fmtid="{D5CDD505-2E9C-101B-9397-08002B2CF9AE}" pid="18" name="Mendeley Recent Style Id 8_1">
    <vt:lpwstr>http://www.zotero.org/styles/pnas</vt:lpwstr>
  </property>
  <property fmtid="{D5CDD505-2E9C-101B-9397-08002B2CF9AE}" pid="19" name="Mendeley Recent Style Name 8_1">
    <vt:lpwstr>Proceedings of the National Academy of Sciences of the United States of America</vt:lpwstr>
  </property>
  <property fmtid="{D5CDD505-2E9C-101B-9397-08002B2CF9AE}" pid="20" name="Mendeley Recent Style Id 9_1">
    <vt:lpwstr>http://www.zotero.org/styles/science</vt:lpwstr>
  </property>
  <property fmtid="{D5CDD505-2E9C-101B-9397-08002B2CF9AE}" pid="21" name="Mendeley Recent Style Name 9_1">
    <vt:lpwstr>Science</vt:lpwstr>
  </property>
</Properties>
</file>